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8AF04" w14:textId="77777777" w:rsidR="006A377E" w:rsidRDefault="00B71C6D" w:rsidP="00B71C6D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B71C6D">
        <w:rPr>
          <w:rFonts w:ascii="Trebuchet MS" w:hAnsi="Trebuchet MS"/>
          <w:b/>
          <w:bCs/>
          <w:sz w:val="28"/>
          <w:szCs w:val="28"/>
        </w:rPr>
        <w:t xml:space="preserve">Raport metodologic </w:t>
      </w:r>
    </w:p>
    <w:p w14:paraId="458AE6C5" w14:textId="6E907440" w:rsidR="00B71C6D" w:rsidRPr="00B71C6D" w:rsidRDefault="00B71C6D" w:rsidP="00B71C6D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B71C6D">
        <w:rPr>
          <w:rFonts w:ascii="Trebuchet MS" w:hAnsi="Trebuchet MS"/>
          <w:b/>
          <w:bCs/>
          <w:sz w:val="28"/>
          <w:szCs w:val="28"/>
        </w:rPr>
        <w:t>Barometrul Opiniilor despre Societatea Civilă (BOSC) 2025</w:t>
      </w:r>
    </w:p>
    <w:p w14:paraId="04CFEF2B" w14:textId="64747A52" w:rsidR="00B71C6D" w:rsidRDefault="00B71C6D" w:rsidP="00B71C6D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Culegerea datelor în cadrul </w:t>
      </w:r>
      <w:r w:rsidRPr="00B71C6D">
        <w:rPr>
          <w:rFonts w:ascii="Trebuchet MS" w:hAnsi="Trebuchet MS"/>
        </w:rPr>
        <w:t>Barometrul</w:t>
      </w:r>
      <w:r>
        <w:rPr>
          <w:rFonts w:ascii="Trebuchet MS" w:hAnsi="Trebuchet MS"/>
        </w:rPr>
        <w:t>ui</w:t>
      </w:r>
      <w:r w:rsidRPr="00B71C6D">
        <w:rPr>
          <w:rFonts w:ascii="Trebuchet MS" w:hAnsi="Trebuchet MS"/>
        </w:rPr>
        <w:t xml:space="preserve"> Opiniilor despre Societatea Civilă (BOSC), ediția 2025, a fost realizat în perioada 15–25 octombrie 2025, prin metoda CATI (Computer Assisted Telephone Interviewing), pe un eșantion reprezentativ de persoane adulte (18 ani și peste) din România.</w:t>
      </w:r>
      <w:r w:rsidR="00355B10">
        <w:rPr>
          <w:rFonts w:ascii="Trebuchet MS" w:hAnsi="Trebuchet MS"/>
        </w:rPr>
        <w:t xml:space="preserve"> </w:t>
      </w:r>
      <w:r w:rsidR="00355B10" w:rsidRPr="00355B10">
        <w:rPr>
          <w:rFonts w:ascii="Trebuchet MS" w:hAnsi="Trebuchet MS"/>
        </w:rPr>
        <w:t>Eșantionarea s-a realizat prin metoda RDD (Random Digit Dialing), care presupune generarea aleatorie a numerelor de telefon.</w:t>
      </w:r>
    </w:p>
    <w:p w14:paraId="64DE4C9F" w14:textId="77777777" w:rsidR="0063045F" w:rsidRDefault="0063045F" w:rsidP="0063045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Pe parcursul procesului de culegere a datelor au fost apelate 50.755 de contacte unice.</w:t>
      </w:r>
    </w:p>
    <w:p w14:paraId="3F2E6300" w14:textId="77777777" w:rsidR="0063045F" w:rsidRPr="005A35C0" w:rsidRDefault="0063045F" w:rsidP="0063045F">
      <w:pPr>
        <w:jc w:val="both"/>
        <w:rPr>
          <w:rFonts w:ascii="Trebuchet MS" w:hAnsi="Trebuchet MS"/>
        </w:rPr>
      </w:pPr>
      <w:r w:rsidRPr="005A35C0">
        <w:rPr>
          <w:rFonts w:ascii="Trebuchet MS" w:hAnsi="Trebuchet MS"/>
        </w:rPr>
        <w:t>Numărul total de încercări de a contacta respondenți</w:t>
      </w:r>
      <w:r>
        <w:rPr>
          <w:rFonts w:ascii="Trebuchet MS" w:hAnsi="Trebuchet MS"/>
        </w:rPr>
        <w:t xml:space="preserve"> (apeluri generate): 97.629</w:t>
      </w:r>
    </w:p>
    <w:p w14:paraId="7198DEC6" w14:textId="77777777" w:rsidR="0063045F" w:rsidRDefault="0063045F" w:rsidP="0063045F">
      <w:pPr>
        <w:jc w:val="both"/>
        <w:rPr>
          <w:rFonts w:ascii="Trebuchet MS" w:hAnsi="Trebuchet MS"/>
        </w:rPr>
      </w:pPr>
      <w:r w:rsidRPr="005A35C0">
        <w:rPr>
          <w:rFonts w:ascii="Trebuchet MS" w:hAnsi="Trebuchet MS"/>
        </w:rPr>
        <w:t>Număr total de încercări reușite de a contacta respondenți</w:t>
      </w:r>
      <w:r>
        <w:rPr>
          <w:rFonts w:ascii="Trebuchet MS" w:hAnsi="Trebuchet MS"/>
        </w:rPr>
        <w:t xml:space="preserve"> (apeluri reușite): 12.967</w:t>
      </w:r>
    </w:p>
    <w:p w14:paraId="10A741BA" w14:textId="77777777" w:rsidR="0063045F" w:rsidRPr="005A35C0" w:rsidRDefault="0063045F" w:rsidP="0063045F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Număr de contacte la care s-a realizat contactul cu succes: 6.381</w:t>
      </w:r>
    </w:p>
    <w:p w14:paraId="7B913058" w14:textId="77777777" w:rsidR="0063045F" w:rsidRPr="005A35C0" w:rsidRDefault="0063045F" w:rsidP="0063045F">
      <w:pPr>
        <w:jc w:val="both"/>
        <w:rPr>
          <w:rFonts w:ascii="Trebuchet MS" w:hAnsi="Trebuchet MS"/>
        </w:rPr>
      </w:pPr>
      <w:r w:rsidRPr="005A35C0">
        <w:rPr>
          <w:rFonts w:ascii="Trebuchet MS" w:hAnsi="Trebuchet MS"/>
        </w:rPr>
        <w:t>Număr respondenți contactați care au început chestionarul</w:t>
      </w:r>
      <w:r>
        <w:rPr>
          <w:rFonts w:ascii="Trebuchet MS" w:hAnsi="Trebuchet MS"/>
        </w:rPr>
        <w:t>: 1.455</w:t>
      </w:r>
    </w:p>
    <w:p w14:paraId="0BF88D84" w14:textId="77777777" w:rsidR="0063045F" w:rsidRDefault="0063045F" w:rsidP="0063045F">
      <w:pPr>
        <w:jc w:val="both"/>
        <w:rPr>
          <w:rFonts w:ascii="Trebuchet MS" w:hAnsi="Trebuchet MS"/>
        </w:rPr>
      </w:pPr>
      <w:r w:rsidRPr="005A35C0">
        <w:rPr>
          <w:rFonts w:ascii="Trebuchet MS" w:hAnsi="Trebuchet MS"/>
        </w:rPr>
        <w:t>Număr respondenți contactați care nu au finalizat chestionarul</w:t>
      </w:r>
      <w:r>
        <w:rPr>
          <w:rFonts w:ascii="Trebuchet MS" w:hAnsi="Trebuchet MS"/>
        </w:rPr>
        <w:t>: 415</w:t>
      </w:r>
    </w:p>
    <w:p w14:paraId="7CC3F319" w14:textId="381707AF" w:rsidR="00B71C6D" w:rsidRDefault="00B71C6D" w:rsidP="00B71C6D">
      <w:pPr>
        <w:jc w:val="both"/>
        <w:rPr>
          <w:rFonts w:ascii="Trebuchet MS" w:hAnsi="Trebuchet MS"/>
        </w:rPr>
      </w:pPr>
      <w:bookmarkStart w:id="0" w:name="_GoBack"/>
      <w:bookmarkEnd w:id="0"/>
      <w:r w:rsidRPr="00B71C6D">
        <w:rPr>
          <w:rFonts w:ascii="Trebuchet MS" w:hAnsi="Trebuchet MS"/>
        </w:rPr>
        <w:t xml:space="preserve">Durata medie a interviurilor a fost de aproximativ </w:t>
      </w:r>
      <w:r w:rsidRPr="005A35C0">
        <w:rPr>
          <w:rFonts w:ascii="Trebuchet MS" w:hAnsi="Trebuchet MS"/>
          <w:b/>
        </w:rPr>
        <w:t>18 minute</w:t>
      </w:r>
      <w:r w:rsidRPr="00B71C6D">
        <w:rPr>
          <w:rFonts w:ascii="Trebuchet MS" w:hAnsi="Trebuchet MS"/>
        </w:rPr>
        <w:t>.</w:t>
      </w:r>
    </w:p>
    <w:p w14:paraId="70EC850F" w14:textId="1E8883CA" w:rsidR="004405D5" w:rsidRPr="00B71C6D" w:rsidRDefault="004405D5" w:rsidP="00B71C6D">
      <w:pPr>
        <w:jc w:val="both"/>
        <w:rPr>
          <w:rFonts w:ascii="Trebuchet MS" w:hAnsi="Trebuchet MS"/>
        </w:rPr>
      </w:pPr>
    </w:p>
    <w:p w14:paraId="0451F6A1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Dimensiunea eșantionului și eroarea de eșantionare</w:t>
      </w:r>
    </w:p>
    <w:p w14:paraId="576F2B5F" w14:textId="75E65CB0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Eșantionul final a inclus 1.017 interviuri valide, selectate după verificarea și curățarea bazei de date. În aceste condiții, eroarea maximă de eșantionare este de ±3,1%, la un nivel de încredere de 95</w:t>
      </w:r>
      <w:r>
        <w:rPr>
          <w:rFonts w:ascii="Trebuchet MS" w:hAnsi="Trebuchet MS"/>
        </w:rPr>
        <w:t>%.</w:t>
      </w:r>
    </w:p>
    <w:p w14:paraId="461ABC6E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Respectarea cerințelor de calitate</w:t>
      </w:r>
    </w:p>
    <w:p w14:paraId="0ABB9B96" w14:textId="77777777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Calitatea realizării studiului a fost asigurată printr-un set de proceduri interne și activități de control, aplicate pe întreaga durată a proiectului. Acestea au inclus:</w:t>
      </w:r>
    </w:p>
    <w:p w14:paraId="5A4C71E1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Monitorizarea permanentă, în timp real, a culegerii datelor de către operatori, prin intermediul supervizorilor;</w:t>
      </w:r>
    </w:p>
    <w:p w14:paraId="41B99AE8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Verificarea sistematică și comunicarea constantă între membrii echipei de proiect (cross-checking între experți);</w:t>
      </w:r>
    </w:p>
    <w:p w14:paraId="08788BC7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Comunicare continuă cu beneficiarul, pe parcursul fiecărei etape a proiectului;</w:t>
      </w:r>
    </w:p>
    <w:p w14:paraId="13970E70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Respectarea procedurilor Sistemului de Management al Calității utilizat în mod standardizat;</w:t>
      </w:r>
    </w:p>
    <w:p w14:paraId="25119A8F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Aplicarea codurilor etice și profesionale ESOMAR (inclusiv Codul ICC/ESOMAR și ghidul ESOMAR/WAPOR pentru sondaje de opinie);</w:t>
      </w:r>
    </w:p>
    <w:p w14:paraId="2F631872" w14:textId="77777777" w:rsidR="00B71C6D" w:rsidRPr="00B71C6D" w:rsidRDefault="00B71C6D" w:rsidP="00B71C6D">
      <w:pPr>
        <w:numPr>
          <w:ilvl w:val="0"/>
          <w:numId w:val="1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Respectarea legislației privind protecția datelor cu caracter personal, conform Regulamentului (UE) 679/2016 (GDPR) și Legii 190/2018.</w:t>
      </w:r>
    </w:p>
    <w:p w14:paraId="2BB6FD22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Monitorizarea și controlul colectării datelor</w:t>
      </w:r>
    </w:p>
    <w:p w14:paraId="2619C251" w14:textId="77777777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 xml:space="preserve">Activitatea operatorilor din call center a fost monitorizată atât în timp real, cât și retroactiv, prin ascultarea apelurilor de către supervizori special desemnați. S-a utilizat o aplicație integrată care gestionează simultan softul de completare a chestionarelor, efectuarea </w:t>
      </w:r>
      <w:r w:rsidRPr="00B71C6D">
        <w:rPr>
          <w:rFonts w:ascii="Trebuchet MS" w:hAnsi="Trebuchet MS"/>
        </w:rPr>
        <w:lastRenderedPageBreak/>
        <w:t>apelurilor, contorizarea și monitorizarea activității operatorilor, reducând astfel posibilitatea realizării unor chestionare fictive.</w:t>
      </w:r>
    </w:p>
    <w:p w14:paraId="45406369" w14:textId="48926481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 xml:space="preserve">În cazul în care au fost observate situații de aplicare neconformă (identificate cel târziu la sfârșitul zilei de lucru), chestionarele respective au fost </w:t>
      </w:r>
      <w:r>
        <w:rPr>
          <w:rFonts w:ascii="Trebuchet MS" w:hAnsi="Trebuchet MS"/>
        </w:rPr>
        <w:t>înlocuite</w:t>
      </w:r>
      <w:r w:rsidRPr="00B71C6D">
        <w:rPr>
          <w:rFonts w:ascii="Trebuchet MS" w:hAnsi="Trebuchet MS"/>
        </w:rPr>
        <w:t xml:space="preserve"> conform metodologiei, iar activitatea operatorului a fost corectată imediat.</w:t>
      </w:r>
    </w:p>
    <w:p w14:paraId="52327FA5" w14:textId="07F2FDA3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 xml:space="preserve">Controlul aplicării chestionarelor a vizat </w:t>
      </w:r>
      <w:r>
        <w:rPr>
          <w:rFonts w:ascii="Trebuchet MS" w:hAnsi="Trebuchet MS"/>
        </w:rPr>
        <w:t>35</w:t>
      </w:r>
      <w:r w:rsidRPr="00B71C6D">
        <w:rPr>
          <w:rFonts w:ascii="Trebuchet MS" w:hAnsi="Trebuchet MS"/>
        </w:rPr>
        <w:t>% dintre interviurile realizate de fiecare operator. În procesul de verificare s-au evaluat:</w:t>
      </w:r>
    </w:p>
    <w:p w14:paraId="7657C83C" w14:textId="77777777" w:rsidR="00B71C6D" w:rsidRPr="00B71C6D" w:rsidRDefault="00B71C6D" w:rsidP="00B71C6D">
      <w:pPr>
        <w:numPr>
          <w:ilvl w:val="0"/>
          <w:numId w:val="2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durata interviului,</w:t>
      </w:r>
    </w:p>
    <w:p w14:paraId="20A9AA33" w14:textId="77777777" w:rsidR="00B71C6D" w:rsidRPr="00B71C6D" w:rsidRDefault="00B71C6D" w:rsidP="00B71C6D">
      <w:pPr>
        <w:numPr>
          <w:ilvl w:val="0"/>
          <w:numId w:val="2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corectitudinea datelor demografice ale respondenților,</w:t>
      </w:r>
    </w:p>
    <w:p w14:paraId="27F31882" w14:textId="77777777" w:rsidR="00B71C6D" w:rsidRPr="00B71C6D" w:rsidRDefault="00B71C6D" w:rsidP="00B71C6D">
      <w:pPr>
        <w:numPr>
          <w:ilvl w:val="0"/>
          <w:numId w:val="2"/>
        </w:num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coerența răspunsurilor la întrebările de opinie.</w:t>
      </w:r>
    </w:p>
    <w:p w14:paraId="722E1C06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Controlul introducerii și procesării datelor</w:t>
      </w:r>
    </w:p>
    <w:p w14:paraId="2DD39622" w14:textId="4F49FC24" w:rsidR="00172B71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 xml:space="preserve">Introducerea datelor a fost verificată pentru </w:t>
      </w:r>
      <w:r w:rsidR="00172B71">
        <w:rPr>
          <w:rFonts w:ascii="Trebuchet MS" w:hAnsi="Trebuchet MS"/>
        </w:rPr>
        <w:t>35</w:t>
      </w:r>
      <w:r w:rsidRPr="00B71C6D">
        <w:rPr>
          <w:rFonts w:ascii="Trebuchet MS" w:hAnsi="Trebuchet MS"/>
        </w:rPr>
        <w:t>% dintre cazuri, prin supravegherea operatorilor în timp real (aproximativ 30% dintre interviuri) și ulterior aplicării (circa 70% dintre cazuri</w:t>
      </w:r>
      <w:r w:rsidR="00172B71">
        <w:rPr>
          <w:rFonts w:ascii="Trebuchet MS" w:hAnsi="Trebuchet MS"/>
        </w:rPr>
        <w:t>le verificate</w:t>
      </w:r>
      <w:r w:rsidRPr="00B71C6D">
        <w:rPr>
          <w:rFonts w:ascii="Trebuchet MS" w:hAnsi="Trebuchet MS"/>
        </w:rPr>
        <w:t>).</w:t>
      </w:r>
    </w:p>
    <w:p w14:paraId="6DF60318" w14:textId="2933736A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S-au eliminat toate erorile de introducere, întrucât datele au fost înregistrate direct în aplicația de culegere în momentul desfășurării interviurilor.</w:t>
      </w:r>
    </w:p>
    <w:p w14:paraId="37326E95" w14:textId="77777777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După verificări, 23 de cazuri au fost eliminate din baza finală din cauza valorilor lipsă la variabile socio-demografice esențiale și a omisiunii accidentale a unor itemi din chestionar.</w:t>
      </w:r>
    </w:p>
    <w:p w14:paraId="537E5260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Evaluarea calității și concluzii</w:t>
      </w:r>
    </w:p>
    <w:p w14:paraId="302B2044" w14:textId="645ADF98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În total, 35% dintre interviuri au fost verificate, atât în timp real, cât și retroactiv, pentru validarea completitudinii și coerenței răspunsurilor. Procesul de verificare nu a evidențiat abateri sistematice sau tentative de fraudă, iar eventualele neconcordanțe izolate au fost remediate prompt.</w:t>
      </w:r>
    </w:p>
    <w:p w14:paraId="3C3913F5" w14:textId="74BF7B5D" w:rsidR="004405D5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Rezultatele controalelor interne confirmă că interviurile au fost realizate conform standardelor profesionale, iar datele obținute sunt fiabile și corespunzătoare scopurilor cercetării.</w:t>
      </w:r>
    </w:p>
    <w:p w14:paraId="65BF2A51" w14:textId="77777777" w:rsidR="00B71C6D" w:rsidRPr="00B71C6D" w:rsidRDefault="00B71C6D" w:rsidP="00B71C6D">
      <w:pPr>
        <w:jc w:val="both"/>
        <w:rPr>
          <w:rFonts w:ascii="Trebuchet MS" w:hAnsi="Trebuchet MS"/>
          <w:b/>
          <w:bCs/>
        </w:rPr>
      </w:pPr>
      <w:r w:rsidRPr="00B71C6D">
        <w:rPr>
          <w:rFonts w:ascii="Trebuchet MS" w:hAnsi="Trebuchet MS"/>
          <w:b/>
          <w:bCs/>
        </w:rPr>
        <w:t>Ponderare</w:t>
      </w:r>
    </w:p>
    <w:p w14:paraId="298C1C56" w14:textId="72D9D3FD" w:rsidR="00172B71" w:rsidRPr="00172B71" w:rsidRDefault="00172B71" w:rsidP="00172B71">
      <w:pPr>
        <w:jc w:val="both"/>
        <w:rPr>
          <w:rFonts w:ascii="Trebuchet MS" w:hAnsi="Trebuchet MS"/>
        </w:rPr>
      </w:pPr>
      <w:r w:rsidRPr="00172B71">
        <w:rPr>
          <w:rFonts w:ascii="Trebuchet MS" w:hAnsi="Trebuchet MS"/>
        </w:rPr>
        <w:t>Tema cercetării</w:t>
      </w:r>
      <w:r w:rsidR="006A377E">
        <w:rPr>
          <w:rFonts w:ascii="Trebuchet MS" w:hAnsi="Trebuchet MS"/>
        </w:rPr>
        <w:t>, anume</w:t>
      </w:r>
      <w:r w:rsidRPr="00172B71">
        <w:rPr>
          <w:rFonts w:ascii="Trebuchet MS" w:hAnsi="Trebuchet MS"/>
        </w:rPr>
        <w:t xml:space="preserve"> percepțiile și atitudinile publicului față de societatea civilă și organizațiile neguvernamentale</w:t>
      </w:r>
      <w:r w:rsidR="006A377E">
        <w:rPr>
          <w:rFonts w:ascii="Trebuchet MS" w:hAnsi="Trebuchet MS"/>
        </w:rPr>
        <w:t xml:space="preserve">, </w:t>
      </w:r>
      <w:r w:rsidRPr="00172B71">
        <w:rPr>
          <w:rFonts w:ascii="Trebuchet MS" w:hAnsi="Trebuchet MS"/>
        </w:rPr>
        <w:t>a implicat un grad ridicat de complexitate și de abstractizare, ceea ce a influențat accesibilitatea subiectului pentru o parte a populației</w:t>
      </w:r>
      <w:r w:rsidR="006A377E">
        <w:rPr>
          <w:rFonts w:ascii="Trebuchet MS" w:hAnsi="Trebuchet MS"/>
        </w:rPr>
        <w:t xml:space="preserve"> investigate</w:t>
      </w:r>
      <w:r w:rsidRPr="00172B71">
        <w:rPr>
          <w:rFonts w:ascii="Trebuchet MS" w:hAnsi="Trebuchet MS"/>
        </w:rPr>
        <w:t>.</w:t>
      </w:r>
    </w:p>
    <w:p w14:paraId="7F27D91E" w14:textId="66A97AF5" w:rsidR="00172B71" w:rsidRPr="00172B71" w:rsidRDefault="00172B71" w:rsidP="00172B71">
      <w:pPr>
        <w:jc w:val="both"/>
        <w:rPr>
          <w:rFonts w:ascii="Trebuchet MS" w:hAnsi="Trebuchet MS"/>
        </w:rPr>
      </w:pPr>
      <w:r w:rsidRPr="00172B71">
        <w:rPr>
          <w:rFonts w:ascii="Trebuchet MS" w:hAnsi="Trebuchet MS"/>
        </w:rPr>
        <w:t>În timpul culegerii datelor s-a constatat un efect de autoselecție a respondenților, determinat de natura temei: persoanele cu interes crescut față de problemele civice, sociale sau comunitare ori cu</w:t>
      </w:r>
      <w:r w:rsidR="006A377E">
        <w:rPr>
          <w:rFonts w:ascii="Trebuchet MS" w:hAnsi="Trebuchet MS"/>
        </w:rPr>
        <w:t xml:space="preserve"> un</w:t>
      </w:r>
      <w:r w:rsidRPr="00172B71">
        <w:rPr>
          <w:rFonts w:ascii="Trebuchet MS" w:hAnsi="Trebuchet MS"/>
        </w:rPr>
        <w:t xml:space="preserve"> nivel mai ridicat de educație și implicare socială au fost mai dispuse să participe la interviu. În schimb, o parte dintre potențialii respondenți au refuzat interviul, invocând lipsa interesului față de subiect sau necunoașterea </w:t>
      </w:r>
      <w:r w:rsidR="006A377E">
        <w:rPr>
          <w:rFonts w:ascii="Trebuchet MS" w:hAnsi="Trebuchet MS"/>
        </w:rPr>
        <w:t>subiectului</w:t>
      </w:r>
      <w:r w:rsidRPr="00172B71">
        <w:rPr>
          <w:rFonts w:ascii="Trebuchet MS" w:hAnsi="Trebuchet MS"/>
        </w:rPr>
        <w:t>.</w:t>
      </w:r>
    </w:p>
    <w:p w14:paraId="71C75764" w14:textId="0D40C75A" w:rsidR="00B71C6D" w:rsidRPr="00B71C6D" w:rsidRDefault="00B71C6D" w:rsidP="00B71C6D">
      <w:pPr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Pentru corectarea parțială a diferențelor dintre structura eșantionului și cea a populației României, datele au fost ponderate în funcție de:</w:t>
      </w:r>
    </w:p>
    <w:p w14:paraId="07707BBC" w14:textId="77777777" w:rsidR="00B71C6D" w:rsidRPr="00B71C6D" w:rsidRDefault="00B71C6D" w:rsidP="006A377E">
      <w:pPr>
        <w:numPr>
          <w:ilvl w:val="0"/>
          <w:numId w:val="5"/>
        </w:numPr>
        <w:spacing w:after="0"/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sex,</w:t>
      </w:r>
    </w:p>
    <w:p w14:paraId="01479E10" w14:textId="77777777" w:rsidR="00B71C6D" w:rsidRPr="00B71C6D" w:rsidRDefault="00B71C6D" w:rsidP="006A377E">
      <w:pPr>
        <w:numPr>
          <w:ilvl w:val="0"/>
          <w:numId w:val="5"/>
        </w:numPr>
        <w:spacing w:after="0"/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vârstă,</w:t>
      </w:r>
    </w:p>
    <w:p w14:paraId="33877938" w14:textId="77777777" w:rsidR="00B71C6D" w:rsidRPr="00B71C6D" w:rsidRDefault="00B71C6D" w:rsidP="006A377E">
      <w:pPr>
        <w:numPr>
          <w:ilvl w:val="0"/>
          <w:numId w:val="5"/>
        </w:numPr>
        <w:spacing w:after="0"/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lastRenderedPageBreak/>
        <w:t>nivel de educație,</w:t>
      </w:r>
    </w:p>
    <w:p w14:paraId="6F423607" w14:textId="77777777" w:rsidR="00B71C6D" w:rsidRPr="00B71C6D" w:rsidRDefault="00B71C6D" w:rsidP="006A377E">
      <w:pPr>
        <w:numPr>
          <w:ilvl w:val="0"/>
          <w:numId w:val="5"/>
        </w:numPr>
        <w:spacing w:after="0"/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mediul de rezidență (urban/rural) și</w:t>
      </w:r>
    </w:p>
    <w:p w14:paraId="5A1FAA55" w14:textId="77777777" w:rsidR="00B71C6D" w:rsidRPr="00B71C6D" w:rsidRDefault="00B71C6D" w:rsidP="006A377E">
      <w:pPr>
        <w:numPr>
          <w:ilvl w:val="0"/>
          <w:numId w:val="5"/>
        </w:numPr>
        <w:spacing w:after="0"/>
        <w:jc w:val="both"/>
        <w:rPr>
          <w:rFonts w:ascii="Trebuchet MS" w:hAnsi="Trebuchet MS"/>
        </w:rPr>
      </w:pPr>
      <w:r w:rsidRPr="00B71C6D">
        <w:rPr>
          <w:rFonts w:ascii="Trebuchet MS" w:hAnsi="Trebuchet MS"/>
        </w:rPr>
        <w:t>regiunile istorice.</w:t>
      </w:r>
    </w:p>
    <w:p w14:paraId="1A56A434" w14:textId="77777777" w:rsidR="00355B10" w:rsidRDefault="00355B10" w:rsidP="00B71C6D">
      <w:pPr>
        <w:jc w:val="both"/>
        <w:rPr>
          <w:rFonts w:ascii="Trebuchet MS" w:hAnsi="Trebuchet MS"/>
        </w:rPr>
      </w:pPr>
    </w:p>
    <w:p w14:paraId="3FE48BDE" w14:textId="32BA1571" w:rsidR="00E65681" w:rsidRPr="00B71C6D" w:rsidRDefault="00B71C6D" w:rsidP="00F0006D">
      <w:pPr>
        <w:jc w:val="both"/>
      </w:pPr>
      <w:r w:rsidRPr="00B71C6D">
        <w:rPr>
          <w:rFonts w:ascii="Trebuchet MS" w:hAnsi="Trebuchet MS"/>
        </w:rPr>
        <w:t>Ponderile au fost calculate pe baza celor mai recente date demografice furnizate de Institutul Național de Statistică (INS).</w:t>
      </w:r>
      <w:r w:rsidR="00355B10">
        <w:rPr>
          <w:rFonts w:ascii="Trebuchet MS" w:hAnsi="Trebuchet MS"/>
        </w:rPr>
        <w:t xml:space="preserve"> </w:t>
      </w:r>
      <w:r w:rsidR="00F0006D" w:rsidRPr="00F0006D">
        <w:rPr>
          <w:rFonts w:ascii="Trebuchet MS" w:hAnsi="Trebuchet MS"/>
        </w:rPr>
        <w:t>Indicii de ponderare, cu valori între 0,32 și 4,94, s-au încadrat în limitele uzuale, nefiind necesare corecții suplimentare.</w:t>
      </w:r>
    </w:p>
    <w:sectPr w:rsidR="00E65681" w:rsidRPr="00B71C6D" w:rsidSect="00F17A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E4B0F"/>
    <w:multiLevelType w:val="multilevel"/>
    <w:tmpl w:val="78B07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C2451"/>
    <w:multiLevelType w:val="multilevel"/>
    <w:tmpl w:val="DD60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E16A5"/>
    <w:multiLevelType w:val="multilevel"/>
    <w:tmpl w:val="CD9C6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65EFF"/>
    <w:multiLevelType w:val="multilevel"/>
    <w:tmpl w:val="3A3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1E6DF4"/>
    <w:multiLevelType w:val="multilevel"/>
    <w:tmpl w:val="EB26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6D"/>
    <w:rsid w:val="00045316"/>
    <w:rsid w:val="00062E33"/>
    <w:rsid w:val="000766EE"/>
    <w:rsid w:val="0012013D"/>
    <w:rsid w:val="00172B71"/>
    <w:rsid w:val="001B4622"/>
    <w:rsid w:val="001D5FE3"/>
    <w:rsid w:val="00273EA4"/>
    <w:rsid w:val="00333305"/>
    <w:rsid w:val="00355B10"/>
    <w:rsid w:val="003B71CE"/>
    <w:rsid w:val="004405D5"/>
    <w:rsid w:val="004C2C55"/>
    <w:rsid w:val="00560BED"/>
    <w:rsid w:val="00596737"/>
    <w:rsid w:val="005A35C0"/>
    <w:rsid w:val="006113DE"/>
    <w:rsid w:val="0063045F"/>
    <w:rsid w:val="006A377E"/>
    <w:rsid w:val="006F2E33"/>
    <w:rsid w:val="007908BD"/>
    <w:rsid w:val="00880DD2"/>
    <w:rsid w:val="00A10513"/>
    <w:rsid w:val="00A851E7"/>
    <w:rsid w:val="00AC323D"/>
    <w:rsid w:val="00B309D0"/>
    <w:rsid w:val="00B71C6D"/>
    <w:rsid w:val="00B77D36"/>
    <w:rsid w:val="00BA726E"/>
    <w:rsid w:val="00C14547"/>
    <w:rsid w:val="00C35EDB"/>
    <w:rsid w:val="00D423B7"/>
    <w:rsid w:val="00D91317"/>
    <w:rsid w:val="00E0253F"/>
    <w:rsid w:val="00E65681"/>
    <w:rsid w:val="00EA39DB"/>
    <w:rsid w:val="00F0006D"/>
    <w:rsid w:val="00F17ABF"/>
    <w:rsid w:val="00F45F1E"/>
    <w:rsid w:val="00FD712B"/>
    <w:rsid w:val="00F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5EC9"/>
  <w15:chartTrackingRefBased/>
  <w15:docId w15:val="{F7FEA537-FF60-4027-BB10-96A2DC4F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ABF"/>
  </w:style>
  <w:style w:type="paragraph" w:styleId="Titlu1">
    <w:name w:val="heading 1"/>
    <w:basedOn w:val="Normal"/>
    <w:next w:val="Normal"/>
    <w:link w:val="Titlu1Caracter"/>
    <w:uiPriority w:val="9"/>
    <w:qFormat/>
    <w:rsid w:val="00B71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71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71C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71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71C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71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71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71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71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71C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71C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71C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71C6D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71C6D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71C6D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71C6D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71C6D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71C6D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B71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71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71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71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71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71C6D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B71C6D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71C6D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71C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71C6D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B71C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L12</dc:creator>
  <cp:keywords/>
  <dc:description/>
  <cp:lastModifiedBy>Adriana Dîncu</cp:lastModifiedBy>
  <cp:revision>4</cp:revision>
  <dcterms:created xsi:type="dcterms:W3CDTF">2025-10-31T08:26:00Z</dcterms:created>
  <dcterms:modified xsi:type="dcterms:W3CDTF">2025-10-31T08:55:00Z</dcterms:modified>
</cp:coreProperties>
</file>